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14:paraId="5830CB78">
      <w:pPr>
        <w:pStyle w:val="style0"/>
        <w:jc w:val="center"/>
        <w:rPr>
          <w:rFonts w:hint="eastAsia"/>
        </w:rPr>
      </w:pPr>
      <w:r>
        <w:rPr>
          <w:rFonts w:hint="default"/>
          <w:lang w:val="en-US" w:eastAsia="zh-CN"/>
        </w:rPr>
        <w:t>校团委“薪火链动，智创煤海”青马工程实践调研团</w:t>
      </w:r>
      <w:r>
        <w:rPr>
          <w:rFonts w:hint="eastAsia"/>
          <w:lang w:eastAsia="zh-CN"/>
        </w:rPr>
        <w:t>与</w:t>
      </w:r>
      <w:r>
        <w:rPr>
          <w:rFonts w:hint="eastAsia"/>
        </w:rPr>
        <w:t>中铝宁夏能源集团共研</w:t>
      </w:r>
      <w:r>
        <w:rPr>
          <w:rFonts w:hint="eastAsia"/>
          <w:lang w:eastAsia="zh-CN"/>
        </w:rPr>
        <w:t>学生</w:t>
      </w:r>
      <w:r>
        <w:rPr>
          <w:rFonts w:hint="eastAsia"/>
        </w:rPr>
        <w:t>联合培养路径</w:t>
      </w:r>
    </w:p>
    <w:p w14:paraId="7C6873F8">
      <w:pPr>
        <w:pStyle w:val="style0"/>
        <w:rPr>
          <w:rFonts w:hint="eastAsia"/>
          <w:lang w:eastAsia="zh-CN"/>
        </w:rPr>
      </w:pPr>
      <w:r>
        <w:rPr>
          <w:rFonts w:hint="eastAsia"/>
          <w:lang w:eastAsia="zh-CN"/>
        </w:rPr>
        <w:t xml:space="preserve">  </w:t>
      </w:r>
      <w:r>
        <w:rPr>
          <w:rFonts w:hint="eastAsia"/>
        </w:rPr>
        <w:t>7月18日，</w:t>
      </w:r>
      <w:r>
        <w:rPr>
          <w:rFonts w:hint="eastAsia"/>
          <w:lang w:eastAsia="zh-CN"/>
        </w:rPr>
        <w:t>校团委</w:t>
      </w:r>
      <w:r>
        <w:rPr>
          <w:rFonts w:hint="eastAsia"/>
        </w:rPr>
        <w:t>“薪火链动，智创煤海”青马工程实践调研团在</w:t>
      </w:r>
      <w:r>
        <w:rPr>
          <w:rFonts w:hint="default"/>
          <w:lang w:val="en-US"/>
        </w:rPr>
        <w:t>西安科技大学</w:t>
      </w:r>
      <w:r>
        <w:rPr>
          <w:rFonts w:hint="eastAsia"/>
        </w:rPr>
        <w:t>团委宣传部部长吴行健、测绘学院团委书记张雷、辅导员刘钊带领下，赴中铝宁夏能源集团有限公司及其所属宁夏银星能源股份有限责任公司开展</w:t>
      </w:r>
      <w:r>
        <w:rPr>
          <w:rFonts w:hint="eastAsia"/>
          <w:lang w:eastAsia="zh-CN"/>
        </w:rPr>
        <w:t>学习实践</w:t>
      </w:r>
      <w:r>
        <w:rPr>
          <w:rFonts w:hint="eastAsia"/>
        </w:rPr>
        <w:t>。</w:t>
      </w:r>
      <w:r>
        <w:rPr>
          <w:rFonts w:hint="eastAsia"/>
          <w:lang w:eastAsia="zh-CN"/>
        </w:rPr>
        <w:t>中铝宁夏能源集团有限公司</w:t>
      </w:r>
      <w:r>
        <w:rPr>
          <w:rFonts w:hint="eastAsia"/>
        </w:rPr>
        <w:t>人力资源部副主任郭永刚主持座谈，团委副书记吕灵芝、人力资源部员工与人才开发科培训主管</w:t>
      </w:r>
      <w:r>
        <w:rPr>
          <w:rFonts w:hint="eastAsia"/>
          <w:lang w:eastAsia="zh-CN"/>
        </w:rPr>
        <w:t>白镜等人出席座谈会。</w:t>
      </w:r>
    </w:p>
    <w:p w14:paraId="6CC32031">
      <w:pPr>
        <w:pStyle w:val="style0"/>
        <w:jc w:val="center"/>
        <w:rPr>
          <w:rFonts w:hint="eastAsia"/>
          <w:sz w:val="18"/>
          <w:szCs w:val="18"/>
          <w:lang w:eastAsia="zh-CN"/>
        </w:rPr>
      </w:pPr>
      <w:r>
        <w:rPr>
          <w:rFonts w:hint="eastAsia"/>
          <w:sz w:val="18"/>
          <w:szCs w:val="18"/>
          <w:lang w:eastAsia="zh-CN"/>
        </w:rPr>
        <w:drawing>
          <wp:inline distL="0" distT="0" distB="0" distR="0">
            <wp:extent cx="3013075" cy="2049779"/>
            <wp:effectExtent l="0" t="0" r="4445" b="3810"/>
            <wp:docPr id="1026" name="图片 1" descr="2025-07-18 21:11:27.88800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图片 1"/>
                    <pic:cNvPicPr/>
                  </pic:nvPicPr>
                  <pic:blipFill>
                    <a:blip r:embed="rId2" cstate="print"/>
                    <a:srcRect l="0" t="0" r="0" b="0"/>
                    <a:stretch/>
                  </pic:blipFill>
                  <pic:spPr>
                    <a:xfrm rot="0">
                      <a:off x="0" y="0"/>
                      <a:ext cx="3013075" cy="2049779"/>
                    </a:xfrm>
                    <a:prstGeom prst="rect"/>
                  </pic:spPr>
                </pic:pic>
              </a:graphicData>
            </a:graphic>
          </wp:inline>
        </w:drawing>
      </w:r>
    </w:p>
    <w:p w14:paraId="1ABB273A">
      <w:pPr>
        <w:pStyle w:val="style0"/>
        <w:jc w:val="center"/>
        <w:rPr>
          <w:rFonts w:hint="eastAsia"/>
          <w:lang w:eastAsia="zh-CN"/>
        </w:rPr>
      </w:pPr>
      <w:r>
        <w:rPr>
          <w:rFonts w:hint="eastAsia"/>
          <w:sz w:val="18"/>
          <w:szCs w:val="18"/>
          <w:lang w:eastAsia="zh-CN"/>
        </w:rPr>
        <w:t>（图为实践团成员在中铝宁夏能源集团有限公司参加座谈会）</w:t>
      </w:r>
    </w:p>
    <w:p w14:paraId="579CF006">
      <w:pPr>
        <w:pStyle w:val="style0"/>
        <w:rPr>
          <w:rFonts w:hint="eastAsia"/>
        </w:rPr>
      </w:pPr>
      <w:r>
        <w:rPr>
          <w:rFonts w:hint="eastAsia"/>
          <w:lang w:eastAsia="zh-CN"/>
        </w:rPr>
        <w:t xml:space="preserve">  </w:t>
      </w:r>
      <w:r>
        <w:rPr>
          <w:rFonts w:hint="eastAsia"/>
        </w:rPr>
        <w:t>伊始，郭永刚通过宣传</w:t>
      </w:r>
      <w:r>
        <w:rPr>
          <w:rFonts w:hint="eastAsia"/>
          <w:lang w:eastAsia="zh-CN"/>
        </w:rPr>
        <w:t>向实践团师生</w:t>
      </w:r>
      <w:r>
        <w:rPr>
          <w:rFonts w:hint="eastAsia"/>
        </w:rPr>
        <w:t>介绍集团</w:t>
      </w:r>
      <w:r>
        <w:rPr>
          <w:rFonts w:hint="eastAsia"/>
          <w:lang w:eastAsia="zh-CN"/>
        </w:rPr>
        <w:t>发展历程</w:t>
      </w:r>
      <w:r>
        <w:rPr>
          <w:rFonts w:hint="eastAsia"/>
        </w:rPr>
        <w:t>，并</w:t>
      </w:r>
      <w:r>
        <w:rPr>
          <w:rFonts w:hint="eastAsia"/>
          <w:lang w:eastAsia="zh-CN"/>
        </w:rPr>
        <w:t>介绍人才引进政和员工晋升机制策</w:t>
      </w:r>
      <w:r>
        <w:rPr>
          <w:rFonts w:hint="eastAsia"/>
        </w:rPr>
        <w:t>。吕灵芝随后汇报青年员工构成</w:t>
      </w:r>
      <w:r>
        <w:rPr>
          <w:rFonts w:hint="eastAsia"/>
          <w:lang w:eastAsia="zh-CN"/>
        </w:rPr>
        <w:t>集团</w:t>
      </w:r>
      <w:r>
        <w:rPr>
          <w:rFonts w:hint="eastAsia"/>
        </w:rPr>
        <w:t>主力，今年已有若干名优秀青年加入党组织，进一步彰显了企业的青春活力。交流环节，</w:t>
      </w:r>
      <w:r>
        <w:rPr>
          <w:rFonts w:hint="default"/>
          <w:lang w:val="en-US"/>
        </w:rPr>
        <w:t>实践团成员</w:t>
      </w:r>
      <w:r>
        <w:rPr>
          <w:rFonts w:hint="eastAsia"/>
        </w:rPr>
        <w:t>马佳海提问：“筛选简历时，贵公司更看重哪些经历或特质？”郭永刚答复</w:t>
      </w:r>
      <w:r>
        <w:rPr>
          <w:rFonts w:hint="default"/>
          <w:lang w:val="en-US"/>
        </w:rPr>
        <w:t>“</w:t>
      </w:r>
      <w:r>
        <w:rPr>
          <w:rFonts w:hint="eastAsia"/>
        </w:rPr>
        <w:t>逻辑思维、个人能力、社会实践均重要</w:t>
      </w:r>
      <w:r>
        <w:rPr>
          <w:rFonts w:hint="eastAsia"/>
          <w:lang w:eastAsia="zh-CN"/>
        </w:rPr>
        <w:t>，并鼓励大学生多参加竞赛活动积累实践经验</w:t>
      </w:r>
      <w:r>
        <w:rPr>
          <w:rFonts w:hint="eastAsia"/>
        </w:rPr>
        <w:t>。”</w:t>
      </w:r>
    </w:p>
    <w:p w14:paraId="7C490CEA">
      <w:pPr>
        <w:pStyle w:val="style0"/>
        <w:rPr>
          <w:rFonts w:hint="eastAsia"/>
        </w:rPr>
      </w:pPr>
      <w:r>
        <w:rPr>
          <w:rFonts w:hint="eastAsia"/>
          <w:lang w:eastAsia="zh-CN"/>
        </w:rPr>
        <w:t xml:space="preserve">  </w:t>
      </w:r>
      <w:r>
        <w:rPr>
          <w:rFonts w:hint="eastAsia"/>
        </w:rPr>
        <w:t>为深化产教融合，</w:t>
      </w:r>
      <w:r>
        <w:rPr>
          <w:rFonts w:hint="eastAsia"/>
          <w:lang w:eastAsia="zh-CN"/>
        </w:rPr>
        <w:t>座谈会后，实践</w:t>
      </w:r>
      <w:r>
        <w:rPr>
          <w:rFonts w:hint="eastAsia"/>
        </w:rPr>
        <w:t>团实地参观了</w:t>
      </w:r>
      <w:r>
        <w:rPr>
          <w:rFonts w:hint="eastAsia"/>
          <w:lang w:eastAsia="zh-CN"/>
        </w:rPr>
        <w:t>宁夏</w:t>
      </w:r>
      <w:r>
        <w:rPr>
          <w:rFonts w:hint="eastAsia"/>
        </w:rPr>
        <w:t>银星能源智慧运维中心</w:t>
      </w:r>
      <w:r>
        <w:rPr>
          <w:rFonts w:hint="eastAsia"/>
          <w:lang w:eastAsia="zh-CN"/>
        </w:rPr>
        <w:t>，</w:t>
      </w:r>
      <w:r>
        <w:rPr>
          <w:rFonts w:hint="eastAsia"/>
        </w:rPr>
        <w:t>通过中央全景式数字指挥平台，实时察看了风电场、光伏电站的发电运行数据流及生产现场的高清视频监控信号。</w:t>
      </w:r>
    </w:p>
    <w:p w14:paraId="36452DBB">
      <w:pPr>
        <w:pStyle w:val="style0"/>
        <w:jc w:val="center"/>
        <w:rPr>
          <w:rFonts w:hint="eastAsia"/>
          <w:lang w:eastAsia="zh-CN"/>
        </w:rPr>
      </w:pPr>
      <w:r>
        <w:rPr>
          <w:rFonts w:hint="eastAsia"/>
          <w:lang w:eastAsia="zh-CN"/>
        </w:rPr>
        <w:drawing>
          <wp:inline distL="0" distT="0" distB="0" distR="0">
            <wp:extent cx="2681605" cy="1853565"/>
            <wp:effectExtent l="0" t="0" r="635" b="4445"/>
            <wp:docPr id="1027" name="图片 4" descr="2025-07-18 21:27:47.85700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图片 4"/>
                    <pic:cNvPicPr/>
                  </pic:nvPicPr>
                  <pic:blipFill>
                    <a:blip r:embed="rId3" cstate="print"/>
                    <a:srcRect l="0" t="0" r="0" b="0"/>
                    <a:stretch/>
                  </pic:blipFill>
                  <pic:spPr>
                    <a:xfrm rot="0">
                      <a:off x="0" y="0"/>
                      <a:ext cx="2681605" cy="1853565"/>
                    </a:xfrm>
                    <a:prstGeom prst="rect"/>
                  </pic:spPr>
                </pic:pic>
              </a:graphicData>
            </a:graphic>
          </wp:inline>
        </w:drawing>
      </w:r>
    </w:p>
    <w:p w14:paraId="2874A8B7">
      <w:pPr>
        <w:pStyle w:val="style0"/>
        <w:jc w:val="center"/>
        <w:rPr>
          <w:rFonts w:hint="eastAsia"/>
          <w:lang w:eastAsia="zh-CN"/>
        </w:rPr>
      </w:pPr>
      <w:r>
        <w:rPr>
          <w:rFonts w:hint="eastAsia"/>
          <w:sz w:val="18"/>
          <w:szCs w:val="18"/>
          <w:lang w:eastAsia="zh-CN"/>
        </w:rPr>
        <w:t>（图为实践团成员参观宁夏银星能源智慧运维中心）</w:t>
      </w:r>
      <w:bookmarkStart w:id="0" w:name="_GoBack"/>
      <w:bookmarkEnd w:id="0"/>
    </w:p>
    <w:p w14:paraId="49A1909E">
      <w:pPr>
        <w:pStyle w:val="style0"/>
        <w:rPr>
          <w:rFonts w:hint="eastAsia"/>
        </w:rPr>
      </w:pPr>
      <w:r>
        <w:rPr>
          <w:rFonts w:hint="eastAsia"/>
          <w:lang w:eastAsia="zh-CN"/>
        </w:rPr>
        <w:t xml:space="preserve">  </w:t>
      </w:r>
      <w:r>
        <w:rPr>
          <w:rFonts w:hint="eastAsia"/>
        </w:rPr>
        <w:t>此次调研活动有效促进了西安科技大学与中铝宁夏能源集团在</w:t>
      </w:r>
      <w:r>
        <w:rPr>
          <w:rFonts w:hint="eastAsia"/>
          <w:lang w:eastAsia="zh-CN"/>
        </w:rPr>
        <w:t>学</w:t>
      </w:r>
      <w:r>
        <w:rPr>
          <w:rFonts w:hint="eastAsia"/>
        </w:rPr>
        <w:t>生联合培养</w:t>
      </w:r>
      <w:r>
        <w:rPr>
          <w:rFonts w:hint="eastAsia"/>
          <w:lang w:eastAsia="zh-CN"/>
        </w:rPr>
        <w:t>和</w:t>
      </w:r>
      <w:r>
        <w:rPr>
          <w:rFonts w:hint="eastAsia"/>
        </w:rPr>
        <w:t>就业招聘方面的</w:t>
      </w:r>
      <w:r>
        <w:rPr>
          <w:rFonts w:hint="eastAsia"/>
          <w:lang w:eastAsia="zh-CN"/>
        </w:rPr>
        <w:t>共同发展</w:t>
      </w:r>
      <w:r>
        <w:rPr>
          <w:rFonts w:hint="eastAsia"/>
        </w:rPr>
        <w:t>，为构建校企协同育人长效机制奠定了坚实基础。双方均表示将继续深化交流，共同探索高层次应用型人才培养的创新路径。</w:t>
      </w:r>
    </w:p>
    <w:p w14:paraId="21DD7697">
      <w:pPr>
        <w:pStyle w:val="style0"/>
        <w:rPr>
          <w:rFonts w:hint="eastAsia"/>
        </w:rPr>
      </w:pPr>
    </w:p>
    <w:sectPr>
      <w:pgSz w:w="11906" w:h="16838" w:orient="portrait"/>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20007A87" w:usb1="80000000" w:usb2="00000008" w:usb3="00000000" w:csb0="000001FF" w:csb1="00000000"/>
  </w:font>
  <w:font w:name="宋体">
    <w:altName w:val="SimSun"/>
    <w:panose1 w:val="00000000000000000000"/>
    <w:charset w:val="86"/>
    <w:family w:val="auto"/>
    <w:pitch w:val="default"/>
    <w:sig w:usb0="00000000" w:usb1="00000000" w:usb2="00000000" w:usb3="00000000" w:csb0="00000000" w:csb1="00000000"/>
  </w:font>
  <w:font w:name="Wingdings">
    <w:altName w:val="Wingdings"/>
    <w:panose1 w:val="05000000000000000000"/>
    <w:charset w:val="00"/>
    <w:family w:val="auto"/>
    <w:pitch w:val="default"/>
    <w:sig w:usb0="00000000" w:usb1="00000000" w:usb2="00000000" w:usb3="00000000" w:csb0="80000000" w:csb1="00000000"/>
  </w:font>
  <w:font w:name="Arial">
    <w:altName w:val="Arial"/>
    <w:panose1 w:val="020b0604020002020204"/>
    <w:charset w:val="00"/>
    <w:family w:val="swiss"/>
    <w:pitch w:val="default"/>
    <w:sig w:usb0="E0002AFF" w:usb1="C0007843" w:usb2="00000009" w:usb3="00000000" w:csb0="400001FF" w:csb1="FFFF0000"/>
  </w:font>
  <w:font w:name="黑体">
    <w:altName w:val="黑体"/>
    <w:panose1 w:val="02010609060001010101"/>
    <w:charset w:val="00"/>
    <w:family w:val="auto"/>
    <w:pitch w:val="default"/>
    <w:sig w:usb0="800002BF" w:usb1="38CF7CFA" w:usb2="00000016" w:usb3="00000000" w:csb0="00040001" w:csb1="00000000"/>
  </w:font>
  <w:font w:name="Courier New">
    <w:altName w:val="Courier New"/>
    <w:panose1 w:val="02070309020002020404"/>
    <w:charset w:val="00"/>
    <w:family w:val="modern"/>
    <w:pitch w:val="default"/>
    <w:sig w:usb0="E0002AFF" w:usb1="C0007843" w:usb2="00000009" w:usb3="00000000" w:csb0="400001FF" w:csb1="FFFF0000"/>
  </w:font>
  <w:font w:name="Symbol">
    <w:altName w:val="Symbol"/>
    <w:panose1 w:val="05050102010007020507"/>
    <w:charset w:val="00"/>
    <w:family w:val="roman"/>
    <w:pitch w:val="default"/>
    <w:sig w:usb0="00000000" w:usb1="00000000" w:usb2="00000000" w:usb3="00000000" w:csb0="80000000" w:csb1="00000000"/>
  </w:font>
  <w:font w:name="Cambria">
    <w:altName w:val="Cambria"/>
    <w:panose1 w:val="02040503050004030204"/>
    <w:charset w:val="00"/>
    <w:family w:val="roman"/>
    <w:pitch w:val="default"/>
    <w:sig w:usb0="00000000" w:usb1="00000000" w:usb2="00000000" w:usb3="00000000" w:csb0="0000019F" w:csb1="00000000"/>
  </w:font>
  <w:font w:name="Calibri">
    <w:altName w:val="Calibri"/>
    <w:panose1 w:val="020f0502020002030204"/>
    <w:charset w:val="00"/>
    <w:family w:val="swiss"/>
    <w:pitch w:val="default"/>
    <w:sig w:usb0="00000000" w:usb1="00000000"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w="http://schemas.openxmlformats.org/wordprocessingml/2006/main" xmlns:r="http://schemas.openxmlformats.org/officeDocument/2006/relationships" xmlns:m="http://schemas.openxmlformats.org/officeDocument/2006/math">
  <w:zoom w:percent="100"/>
  <w:embedSystemFonts/>
  <w:bordersDoNotSurroundHeader/>
  <w:bordersDoNotSurroundFooter/>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Times New Roman" w:cs="Times New Roman" w:eastAsia="宋体" w:hAnsi="Times New Roman"/>
      </w:rPr>
    </w:rPrDefault>
    <w:pPrDefault>
      <w:pPr/>
    </w:pPrDefault>
  </w:docDefaults>
  <w:style w:type="paragraph" w:default="1" w:styleId="style0">
    <w:name w:val="Normal"/>
    <w:next w:val="style0"/>
    <w:qFormat/>
    <w:uiPriority w:val="0"/>
    <w:pPr>
      <w:widowControl w:val="false"/>
      <w:jc w:val="both"/>
    </w:pPr>
    <w:rPr>
      <w:rFonts w:ascii="Calibri" w:cs="宋体" w:eastAsia="宋体" w:hAnsi="Calibri"/>
      <w:kern w:val="2"/>
      <w:sz w:val="21"/>
      <w:szCs w:val="24"/>
      <w:lang w:val="en-US" w:bidi="ar-SA" w:eastAsia="zh-CN"/>
    </w:rPr>
  </w:style>
  <w:style w:type="character" w:default="1" w:styleId="style65">
    <w:name w:val="Default Paragraph Font"/>
    <w:next w:val="style65"/>
    <w:uiPriority w:val="0"/>
  </w:style>
  <w:style w:type="table" w:default="1" w:styleId="style105">
    <w:name w:val="Normal Table"/>
    <w:next w:val="style105"/>
    <w:uiPriority w:val="0"/>
    <w:pPr/>
    <w:rPr/>
    <w:tblPr>
      <w:tblLayout w:type="fixed"/>
      <w:tblCellMar>
        <w:top w:w="0" w:type="dxa"/>
        <w:left w:w="108" w:type="dxa"/>
        <w:bottom w:w="0" w:type="dxa"/>
        <w:right w:w="108" w:type="dxa"/>
      </w:tblCellMar>
    </w:tblPr>
    <w:tcPr>
      <w:tcBorders/>
    </w:tc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styles" Target="styles.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Relationship Id="rId8"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Words>618</Words>
  <Pages>1</Pages>
  <Characters>619</Characters>
  <Application>WPS Office</Application>
  <DocSecurity>0</DocSecurity>
  <Paragraphs>10</Paragraphs>
  <ScaleCrop>false</ScaleCrop>
  <LinksUpToDate>false</LinksUpToDate>
  <CharactersWithSpaces>627</CharactersWithSpaces>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2025-07-18T20:01:55Z</dcterms:created>
  <dc:creator>iPad</dc:creator>
  <lastModifiedBy>TGR-W10</lastModifiedBy>
  <dcterms:modified xsi:type="dcterms:W3CDTF">2025-07-18T13:31:46Z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2052-12.28.0</vt:lpwstr>
  </property>
  <property fmtid="{D5CDD505-2E9C-101B-9397-08002B2CF9AE}" pid="3" name="ICV">
    <vt:lpwstr>18ae0afb077a424cabd6d9ab6d9628f9_23</vt:lpwstr>
  </property>
</Properties>
</file>